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31F1F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31F1F"/>
          <w:sz w:val="44"/>
          <w:szCs w:val="44"/>
          <w:shd w:val="clear" w:color="auto" w:fill="FFFFFF"/>
          <w:lang w:eastAsia="zh-CN"/>
        </w:rPr>
        <w:t>成都川投空港建设有限公司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231F1F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  <w:lang w:val="en-US" w:eastAsia="zh-CN"/>
        </w:rPr>
        <w:t>成都川投空港建设有限公司（简称：空港公司）是由川投</w:t>
      </w:r>
      <w:r>
        <w:rPr>
          <w:rFonts w:hint="eastAsia" w:ascii="仿宋_GB2312" w:hAnsi="仿宋" w:eastAsia="仿宋_GB2312"/>
          <w:sz w:val="32"/>
          <w:szCs w:val="32"/>
        </w:rPr>
        <w:t>集团公司与成都高新投资集团有限公司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中建三局集团有限公司和中信正业投资发展有限公司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共同组建的合资公司。负责</w:t>
      </w:r>
      <w:r>
        <w:rPr>
          <w:rFonts w:hint="eastAsia" w:ascii="仿宋_GB2312" w:hAnsi="仿宋" w:eastAsia="仿宋_GB2312"/>
          <w:sz w:val="32"/>
          <w:szCs w:val="32"/>
        </w:rPr>
        <w:t>成都天府国际空港新城机场配套道路工程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/>
          <w:sz w:val="32"/>
          <w:szCs w:val="32"/>
        </w:rPr>
        <w:t>（一批次）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投资建设、运营管理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保障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成都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天府国际机场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顺利建成具有重要意义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成都天府国际空港新城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建设重点工程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为满足项目建设工作需要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Cs/>
          <w:sz w:val="32"/>
          <w:szCs w:val="32"/>
        </w:rPr>
        <w:t>面向社会招聘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专业人才，</w:t>
      </w:r>
      <w:r>
        <w:rPr>
          <w:rFonts w:hint="eastAsia" w:ascii="仿宋" w:hAnsi="仿宋" w:eastAsia="仿宋"/>
          <w:sz w:val="32"/>
          <w:szCs w:val="32"/>
        </w:rPr>
        <w:t>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一、招聘方式和原则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（一）招聘范围：全国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（二）招聘原则：公开公平，择优录取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二、招聘岗位及人数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231F1F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  <w:lang w:eastAsia="zh-CN"/>
        </w:rPr>
        <w:t>内控与合约部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  <w:lang w:eastAsia="zh-CN"/>
        </w:rPr>
        <w:t>工程</w:t>
      </w:r>
      <w:r>
        <w:rPr>
          <w:rFonts w:ascii="仿宋" w:hAnsi="仿宋" w:eastAsia="仿宋" w:cs="仿宋"/>
          <w:sz w:val="32"/>
          <w:szCs w:val="32"/>
        </w:rPr>
        <w:t>投资/造价管理专员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1名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（二）工程管理部</w:t>
      </w:r>
      <w:r>
        <w:rPr>
          <w:rFonts w:hint="eastAsia" w:ascii="仿宋" w:hAnsi="仿宋" w:eastAsia="仿宋" w:cs="仿宋"/>
          <w:sz w:val="32"/>
          <w:szCs w:val="32"/>
        </w:rPr>
        <w:t>：工程管理专员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1名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（一）思想政治素质好，拥护中国共产党的路线方针政策，遵纪守法，团结协作，诚信廉洁，有良好的职业素养及较强的事业心和责任心；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（二）具有良好的心理素质和健康的身体条件；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（三）招聘岗位要求的其它资格条件见《招聘岗位及任职资格》（附件2）；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（四）有下列情形之一者，不得报名：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1.曾受过司法机关刑事处罚的；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2.涉嫌违法、违纪正在接受审查的；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3.尚未解除党纪、政纪处分的；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4.曾被开除公职、被辞退的；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5.违反有关规定不适宜报考的。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四、报名方式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报名要求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按要求详细填写《应聘人员登记表》（</w:t>
      </w: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），并将报名表以及相关材料扫描件电子版发送至招聘专用电子邮箱，文件名命名为“应聘岗位+姓名”。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相关材料电子版扫描件包括：身份证、学历学位、职业资格或职称等相关资质证书，代表个人能力、任职经历的证书和材料。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报名截止时间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201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  <w:highlight w:val="none"/>
        </w:rPr>
        <w:t>日下午17:00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资料</w:t>
      </w:r>
      <w:r>
        <w:rPr>
          <w:rFonts w:ascii="仿宋" w:hAnsi="仿宋" w:eastAsia="仿宋"/>
          <w:sz w:val="32"/>
          <w:szCs w:val="32"/>
        </w:rPr>
        <w:t>投递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招聘电子邮箱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ctkghr</w:t>
      </w:r>
      <w:r>
        <w:rPr>
          <w:rFonts w:hint="eastAsia" w:ascii="仿宋" w:hAnsi="仿宋" w:eastAsia="仿宋"/>
          <w:sz w:val="32"/>
          <w:szCs w:val="32"/>
        </w:rPr>
        <w:t>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/>
          <w:sz w:val="32"/>
          <w:szCs w:val="32"/>
        </w:rPr>
        <w:t>.com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五、薪酬待遇：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具体薪酬面议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六、应聘须知：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（一）应聘人员提供的材料必须真实有效，如有虚假，一经查实即取消面试或录用资格，如已聘用则解除劳动合同。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（二）被录用人员与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  <w:lang w:eastAsia="zh-CN"/>
        </w:rPr>
        <w:t>成都川投空港建设有限公司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依法签订劳动合同，合同约定试用期三个月，试用不合格不予正式聘用。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（三）本次招聘报名不接收邮寄资料。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（四）</w:t>
      </w:r>
      <w:r>
        <w:rPr>
          <w:rFonts w:hint="eastAsia" w:ascii="仿宋" w:hAnsi="仿宋" w:eastAsia="仿宋"/>
          <w:sz w:val="32"/>
          <w:szCs w:val="32"/>
        </w:rPr>
        <w:t>面试</w:t>
      </w:r>
      <w:r>
        <w:rPr>
          <w:rFonts w:ascii="仿宋" w:hAnsi="仿宋" w:eastAsia="仿宋"/>
          <w:sz w:val="32"/>
          <w:szCs w:val="32"/>
        </w:rPr>
        <w:t>通知以</w:t>
      </w:r>
      <w:r>
        <w:rPr>
          <w:rFonts w:hint="eastAsia" w:ascii="仿宋" w:hAnsi="仿宋" w:eastAsia="仿宋"/>
          <w:sz w:val="32"/>
          <w:szCs w:val="32"/>
        </w:rPr>
        <w:t>电话方式通知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请保持通讯畅通，资格审查不合格的恕不另行通知。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（五）面试时请提供相关资料原件。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附件：1、应聘登记表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firstLine="0" w:firstLineChars="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  <w:t>招聘岗位及任职资格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231F1F"/>
          <w:sz w:val="32"/>
          <w:szCs w:val="32"/>
          <w:shd w:val="clear" w:color="auto" w:fill="FFFFFF"/>
          <w:lang w:val="en-US" w:eastAsia="zh-CN"/>
        </w:rPr>
        <w:t xml:space="preserve">                  成都川投空港建设有限公司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07" w:rightChars="0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_GB2312" w:hAnsi="宋体" w:eastAsia="仿宋_GB2312" w:cs="Times New Roman"/>
          <w:color w:val="000000"/>
          <w:sz w:val="32"/>
          <w:szCs w:val="32"/>
        </w:rPr>
        <w:t>201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rPr>
          <w:rFonts w:hint="default" w:ascii="仿宋" w:hAnsi="仿宋" w:eastAsia="仿宋" w:cs="仿宋"/>
          <w:color w:val="231F1F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93265C"/>
    <w:multiLevelType w:val="singleLevel"/>
    <w:tmpl w:val="C493265C"/>
    <w:lvl w:ilvl="0" w:tentative="0">
      <w:start w:val="2"/>
      <w:numFmt w:val="decimal"/>
      <w:suff w:val="nothing"/>
      <w:lvlText w:val="%1、"/>
      <w:lvlJc w:val="left"/>
      <w:pPr>
        <w:ind w:left="1600" w:leftChars="0" w:firstLine="0" w:firstLineChars="0"/>
      </w:pPr>
    </w:lvl>
  </w:abstractNum>
  <w:abstractNum w:abstractNumId="1">
    <w:nsid w:val="0CF95D53"/>
    <w:multiLevelType w:val="multilevel"/>
    <w:tmpl w:val="0CF95D53"/>
    <w:lvl w:ilvl="0" w:tentative="0">
      <w:start w:val="1"/>
      <w:numFmt w:val="chineseCountingThousand"/>
      <w:lvlText w:val="(%1)"/>
      <w:lvlJc w:val="left"/>
      <w:pPr>
        <w:ind w:left="1040" w:hanging="48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520" w:hanging="480"/>
      </w:pPr>
    </w:lvl>
    <w:lvl w:ilvl="2" w:tentative="0">
      <w:start w:val="1"/>
      <w:numFmt w:val="lowerRoman"/>
      <w:lvlText w:val="%3."/>
      <w:lvlJc w:val="right"/>
      <w:pPr>
        <w:ind w:left="2000" w:hanging="480"/>
      </w:pPr>
    </w:lvl>
    <w:lvl w:ilvl="3" w:tentative="0">
      <w:start w:val="1"/>
      <w:numFmt w:val="decimal"/>
      <w:lvlText w:val="%4."/>
      <w:lvlJc w:val="left"/>
      <w:pPr>
        <w:ind w:left="2480" w:hanging="480"/>
      </w:pPr>
    </w:lvl>
    <w:lvl w:ilvl="4" w:tentative="0">
      <w:start w:val="1"/>
      <w:numFmt w:val="lowerLetter"/>
      <w:lvlText w:val="%5)"/>
      <w:lvlJc w:val="left"/>
      <w:pPr>
        <w:ind w:left="2960" w:hanging="480"/>
      </w:pPr>
    </w:lvl>
    <w:lvl w:ilvl="5" w:tentative="0">
      <w:start w:val="1"/>
      <w:numFmt w:val="lowerRoman"/>
      <w:lvlText w:val="%6."/>
      <w:lvlJc w:val="right"/>
      <w:pPr>
        <w:ind w:left="3440" w:hanging="480"/>
      </w:pPr>
    </w:lvl>
    <w:lvl w:ilvl="6" w:tentative="0">
      <w:start w:val="1"/>
      <w:numFmt w:val="decimal"/>
      <w:lvlText w:val="%7."/>
      <w:lvlJc w:val="left"/>
      <w:pPr>
        <w:ind w:left="3920" w:hanging="480"/>
      </w:pPr>
    </w:lvl>
    <w:lvl w:ilvl="7" w:tentative="0">
      <w:start w:val="1"/>
      <w:numFmt w:val="lowerLetter"/>
      <w:lvlText w:val="%8)"/>
      <w:lvlJc w:val="left"/>
      <w:pPr>
        <w:ind w:left="4400" w:hanging="480"/>
      </w:pPr>
    </w:lvl>
    <w:lvl w:ilvl="8" w:tentative="0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60F50"/>
    <w:rsid w:val="53383083"/>
    <w:rsid w:val="5C8D0811"/>
    <w:rsid w:val="731C1C3F"/>
    <w:rsid w:val="7A7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2019-09-10T07:28:42Z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