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3531">
      <w:pPr>
        <w:pStyle w:val="2"/>
        <w:numPr>
          <w:ilvl w:val="0"/>
          <w:numId w:val="0"/>
        </w:numPr>
        <w:spacing w:line="360" w:lineRule="auto"/>
        <w:rPr>
          <w:color w:val="000000"/>
        </w:rPr>
      </w:pPr>
      <w:bookmarkStart w:id="0" w:name="_Toc23097"/>
      <w:bookmarkStart w:id="1" w:name="_Toc8486"/>
      <w:bookmarkStart w:id="2" w:name="_Toc28522"/>
      <w:r>
        <w:rPr>
          <w:rFonts w:hint="eastAsia"/>
          <w:color w:val="000000"/>
        </w:rPr>
        <w:t>比选公告</w:t>
      </w:r>
      <w:bookmarkEnd w:id="0"/>
      <w:bookmarkEnd w:id="1"/>
      <w:bookmarkEnd w:id="2"/>
    </w:p>
    <w:p w14:paraId="4AF75890">
      <w:pPr>
        <w:tabs>
          <w:tab w:val="left" w:pos="3585"/>
        </w:tabs>
        <w:spacing w:line="360" w:lineRule="auto"/>
        <w:ind w:firstLine="480" w:firstLineChars="200"/>
        <w:rPr>
          <w:rFonts w:ascii="黑体" w:eastAsia="黑体"/>
          <w:color w:val="000000"/>
          <w:sz w:val="24"/>
        </w:rPr>
      </w:pPr>
      <w:bookmarkStart w:id="3" w:name="OLE_LINK2"/>
      <w:r>
        <w:rPr>
          <w:rFonts w:hint="eastAsia" w:ascii="黑体" w:eastAsia="黑体"/>
          <w:color w:val="000000"/>
          <w:sz w:val="24"/>
        </w:rPr>
        <w:t>一、项目背景</w:t>
      </w:r>
    </w:p>
    <w:p w14:paraId="0E0D7C42">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（一）项目名称：</w:t>
      </w:r>
      <w:r>
        <w:rPr>
          <w:rFonts w:hint="eastAsia" w:ascii="仿宋_GB2312" w:eastAsia="仿宋_GB2312"/>
          <w:color w:val="000000"/>
          <w:sz w:val="24"/>
        </w:rPr>
        <w:t>境外风电项目财税尽职调查</w:t>
      </w:r>
    </w:p>
    <w:p w14:paraId="3664B1B1">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（二）投资主体：</w:t>
      </w:r>
      <w:r>
        <w:rPr>
          <w:rFonts w:hint="eastAsia" w:ascii="仿宋_GB2312" w:eastAsia="仿宋_GB2312"/>
          <w:color w:val="000000"/>
          <w:sz w:val="24"/>
        </w:rPr>
        <w:t>川投国际有</w:t>
      </w:r>
      <w:r>
        <w:rPr>
          <w:rFonts w:hint="eastAsia" w:ascii="仿宋_GB2312" w:hAnsi="仿宋_GB2312" w:eastAsia="仿宋_GB2312" w:cs="仿宋_GB2312"/>
          <w:color w:val="000000"/>
          <w:sz w:val="24"/>
        </w:rPr>
        <w:t>限公</w:t>
      </w:r>
      <w:r>
        <w:rPr>
          <w:rFonts w:hint="eastAsia" w:ascii="仿宋_GB2312" w:eastAsia="仿宋_GB2312"/>
          <w:color w:val="000000"/>
          <w:sz w:val="24"/>
        </w:rPr>
        <w:t>司SCIG INTERNATIONAL LIMITED（以下简称“川投国际”或“比选人”），香港注册成立的国资企业。</w:t>
      </w:r>
    </w:p>
    <w:p w14:paraId="5001923D">
      <w:pPr>
        <w:adjustRightInd w:val="0"/>
        <w:snapToGrid w:val="0"/>
        <w:spacing w:line="570" w:lineRule="exact"/>
        <w:ind w:firstLine="482" w:firstLineChars="200"/>
        <w:rPr>
          <w:rFonts w:ascii="仿宋_GB2312" w:eastAsia="仿宋_GB2312"/>
          <w:color w:val="000000"/>
          <w:sz w:val="24"/>
        </w:rPr>
      </w:pPr>
      <w:r>
        <w:rPr>
          <w:rFonts w:hint="eastAsia" w:ascii="仿宋_GB2312" w:eastAsia="仿宋_GB2312"/>
          <w:b/>
          <w:bCs/>
          <w:color w:val="000000"/>
          <w:sz w:val="24"/>
        </w:rPr>
        <w:t>（三）项目概况：</w:t>
      </w:r>
      <w:r>
        <w:rPr>
          <w:rFonts w:hint="eastAsia" w:ascii="仿宋_GB2312" w:eastAsia="仿宋_GB2312"/>
          <w:color w:val="000000"/>
          <w:sz w:val="24"/>
        </w:rPr>
        <w:t>拟收购</w:t>
      </w:r>
      <w:r>
        <w:rPr>
          <w:rFonts w:ascii="仿宋_GB2312" w:eastAsia="仿宋_GB2312"/>
          <w:color w:val="000000"/>
          <w:sz w:val="24"/>
        </w:rPr>
        <w:t>项目为</w:t>
      </w:r>
      <w:r>
        <w:rPr>
          <w:rFonts w:hint="eastAsia" w:ascii="仿宋_GB2312" w:eastAsia="仿宋_GB2312"/>
          <w:color w:val="000000"/>
          <w:sz w:val="24"/>
        </w:rPr>
        <w:t>格鲁吉亚境内某1</w:t>
      </w:r>
      <w:r>
        <w:rPr>
          <w:rFonts w:ascii="仿宋_GB2312" w:eastAsia="仿宋_GB2312"/>
          <w:color w:val="000000"/>
          <w:sz w:val="24"/>
        </w:rPr>
        <w:t>00MW风力发电</w:t>
      </w:r>
      <w:r>
        <w:rPr>
          <w:rFonts w:hint="eastAsia" w:ascii="仿宋_GB2312" w:eastAsia="仿宋_GB2312"/>
          <w:color w:val="000000"/>
          <w:sz w:val="24"/>
        </w:rPr>
        <w:t>项目，该项目以B</w:t>
      </w:r>
      <w:r>
        <w:rPr>
          <w:rFonts w:ascii="仿宋_GB2312" w:eastAsia="仿宋_GB2312"/>
          <w:color w:val="000000"/>
          <w:sz w:val="24"/>
        </w:rPr>
        <w:t>OO</w:t>
      </w:r>
      <w:r>
        <w:rPr>
          <w:rFonts w:hint="eastAsia" w:ascii="仿宋_GB2312" w:eastAsia="仿宋_GB2312"/>
          <w:color w:val="000000"/>
          <w:sz w:val="24"/>
        </w:rPr>
        <w:t>模式开发</w:t>
      </w:r>
      <w:r>
        <w:rPr>
          <w:rFonts w:ascii="仿宋_GB2312" w:eastAsia="仿宋_GB2312"/>
          <w:color w:val="000000"/>
          <w:sz w:val="24"/>
        </w:rPr>
        <w:t>，主要建设内容包括风电场、场内架空线路、送出线路及升压站</w:t>
      </w:r>
      <w:r>
        <w:rPr>
          <w:rFonts w:hint="eastAsia" w:ascii="仿宋_GB2312" w:eastAsia="仿宋_GB2312"/>
          <w:color w:val="000000"/>
          <w:sz w:val="24"/>
        </w:rPr>
        <w:t>，项目</w:t>
      </w:r>
      <w:r>
        <w:rPr>
          <w:rFonts w:ascii="仿宋_GB2312" w:eastAsia="仿宋_GB2312"/>
          <w:color w:val="000000"/>
          <w:sz w:val="24"/>
        </w:rPr>
        <w:t>年均发电量约3.7亿度，</w:t>
      </w:r>
      <w:r>
        <w:rPr>
          <w:rFonts w:hint="eastAsia" w:ascii="仿宋_GB2312" w:eastAsia="仿宋_GB2312"/>
          <w:color w:val="000000"/>
          <w:sz w:val="24"/>
        </w:rPr>
        <w:t>建设</w:t>
      </w:r>
      <w:r>
        <w:rPr>
          <w:rFonts w:ascii="仿宋_GB2312" w:eastAsia="仿宋_GB2312"/>
          <w:color w:val="000000"/>
          <w:sz w:val="24"/>
        </w:rPr>
        <w:t>总投资约1.2亿美元。</w:t>
      </w:r>
      <w:r>
        <w:rPr>
          <w:rFonts w:hint="eastAsia" w:ascii="仿宋_GB2312" w:eastAsia="仿宋_GB2312"/>
          <w:color w:val="000000"/>
          <w:sz w:val="24"/>
        </w:rPr>
        <w:t>项目公司已取得开发权，并完成征地、环评、电力接入相关工作，基本具备建设条件。</w:t>
      </w:r>
    </w:p>
    <w:p w14:paraId="67541E2D">
      <w:pPr>
        <w:adjustRightInd w:val="0"/>
        <w:snapToGrid w:val="0"/>
        <w:spacing w:line="570" w:lineRule="exact"/>
        <w:ind w:firstLine="480" w:firstLineChars="200"/>
        <w:rPr>
          <w:rFonts w:ascii="仿宋_GB2312" w:eastAsia="仿宋_GB2312"/>
          <w:color w:val="000000"/>
          <w:sz w:val="24"/>
        </w:rPr>
      </w:pPr>
      <w:r>
        <w:rPr>
          <w:rFonts w:hint="eastAsia" w:ascii="仿宋_GB2312" w:eastAsia="仿宋_GB2312"/>
          <w:color w:val="000000"/>
          <w:sz w:val="24"/>
        </w:rPr>
        <w:t>川投国际拟通过收购该项目公司，获得风电项目开发权，并自行开展后续建设运营工作。</w:t>
      </w:r>
    </w:p>
    <w:bookmarkEnd w:id="3"/>
    <w:p w14:paraId="21169365">
      <w:pPr>
        <w:tabs>
          <w:tab w:val="left" w:pos="3585"/>
        </w:tabs>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w:t>
      </w:r>
      <w:r>
        <w:rPr>
          <w:rFonts w:hint="eastAsia" w:ascii="黑体" w:eastAsia="黑体"/>
          <w:color w:val="000000"/>
          <w:sz w:val="24"/>
        </w:rPr>
        <w:t>服务内容</w:t>
      </w:r>
    </w:p>
    <w:tbl>
      <w:tblPr>
        <w:tblStyle w:val="3"/>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3"/>
        <w:gridCol w:w="7456"/>
      </w:tblGrid>
      <w:tr w14:paraId="751F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Align w:val="center"/>
          </w:tcPr>
          <w:p w14:paraId="7A214482">
            <w:pPr>
              <w:spacing w:before="156" w:beforeLines="50" w:after="156" w:afterLines="50" w:line="340" w:lineRule="atLeast"/>
              <w:jc w:val="center"/>
              <w:rPr>
                <w:rFonts w:ascii="仿宋_GB2312" w:eastAsia="仿宋_GB2312"/>
                <w:b/>
                <w:sz w:val="24"/>
              </w:rPr>
            </w:pPr>
          </w:p>
        </w:tc>
        <w:tc>
          <w:tcPr>
            <w:tcW w:w="7456" w:type="dxa"/>
            <w:vAlign w:val="center"/>
          </w:tcPr>
          <w:p w14:paraId="694E1F9E">
            <w:pPr>
              <w:spacing w:before="156" w:beforeLines="50" w:after="156" w:afterLines="50" w:line="340" w:lineRule="atLeast"/>
              <w:jc w:val="center"/>
              <w:rPr>
                <w:rFonts w:ascii="仿宋_GB2312" w:eastAsia="仿宋_GB2312"/>
                <w:b/>
                <w:sz w:val="24"/>
              </w:rPr>
            </w:pPr>
            <w:r>
              <w:rPr>
                <w:rFonts w:hint="eastAsia" w:ascii="仿宋_GB2312" w:eastAsia="仿宋_GB2312"/>
                <w:b/>
                <w:sz w:val="24"/>
              </w:rPr>
              <w:t>工作内容</w:t>
            </w:r>
          </w:p>
        </w:tc>
      </w:tr>
      <w:tr w14:paraId="0AA4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101253D8">
            <w:pPr>
              <w:spacing w:before="156" w:beforeLines="50" w:after="156" w:afterLines="50" w:line="340" w:lineRule="atLeast"/>
              <w:jc w:val="center"/>
              <w:rPr>
                <w:rFonts w:ascii="仿宋_GB2312" w:eastAsia="仿宋_GB2312"/>
                <w:sz w:val="24"/>
              </w:rPr>
            </w:pPr>
            <w:r>
              <w:rPr>
                <w:rFonts w:hint="eastAsia" w:ascii="仿宋_GB2312" w:eastAsia="仿宋_GB2312"/>
                <w:sz w:val="24"/>
              </w:rPr>
              <w:t>融资架构</w:t>
            </w:r>
          </w:p>
          <w:p w14:paraId="2A2731FA">
            <w:pPr>
              <w:spacing w:before="156" w:beforeLines="50" w:after="156" w:afterLines="50" w:line="340" w:lineRule="atLeast"/>
              <w:jc w:val="center"/>
              <w:rPr>
                <w:rFonts w:ascii="仿宋_GB2312" w:eastAsia="仿宋_GB2312"/>
                <w:sz w:val="24"/>
              </w:rPr>
            </w:pPr>
            <w:r>
              <w:rPr>
                <w:rFonts w:hint="eastAsia" w:ascii="仿宋_GB2312" w:eastAsia="仿宋_GB2312"/>
                <w:sz w:val="24"/>
              </w:rPr>
              <w:t>咨询</w:t>
            </w:r>
          </w:p>
        </w:tc>
        <w:tc>
          <w:tcPr>
            <w:tcW w:w="7456" w:type="dxa"/>
            <w:vAlign w:val="center"/>
          </w:tcPr>
          <w:p w14:paraId="3CB5199D">
            <w:pPr>
              <w:spacing w:before="156" w:beforeLines="50" w:after="156" w:afterLines="50" w:line="340" w:lineRule="atLeast"/>
              <w:jc w:val="left"/>
              <w:rPr>
                <w:rFonts w:ascii="仿宋_GB2312" w:eastAsia="仿宋_GB2312"/>
                <w:sz w:val="24"/>
              </w:rPr>
            </w:pPr>
            <w:r>
              <w:rPr>
                <w:rFonts w:hint="eastAsia" w:ascii="仿宋_GB2312" w:eastAsia="仿宋_GB2312"/>
                <w:sz w:val="24"/>
              </w:rPr>
              <w:t>1、拟收购项目的融资方式和融资架构以及资金汇回策略</w:t>
            </w:r>
          </w:p>
        </w:tc>
      </w:tr>
      <w:tr w14:paraId="0AD3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22B4578">
            <w:pPr>
              <w:spacing w:before="156" w:beforeLines="50" w:after="156" w:afterLines="50" w:line="340" w:lineRule="atLeast"/>
              <w:jc w:val="left"/>
              <w:rPr>
                <w:rFonts w:ascii="仿宋_GB2312" w:eastAsia="仿宋_GB2312"/>
                <w:sz w:val="24"/>
              </w:rPr>
            </w:pPr>
          </w:p>
        </w:tc>
        <w:tc>
          <w:tcPr>
            <w:tcW w:w="7456" w:type="dxa"/>
            <w:vAlign w:val="center"/>
          </w:tcPr>
          <w:p w14:paraId="3114ECF4">
            <w:pPr>
              <w:spacing w:before="156" w:beforeLines="50" w:after="156" w:afterLines="50" w:line="340" w:lineRule="atLeast"/>
              <w:jc w:val="left"/>
              <w:rPr>
                <w:rFonts w:ascii="仿宋_GB2312" w:eastAsia="仿宋_GB2312"/>
                <w:sz w:val="24"/>
              </w:rPr>
            </w:pPr>
            <w:r>
              <w:rPr>
                <w:rFonts w:hint="eastAsia" w:ascii="仿宋_GB2312" w:eastAsia="仿宋_GB2312"/>
                <w:sz w:val="24"/>
              </w:rPr>
              <w:t>2、就融资方式和融资架构以及资金汇回策略提出税务意见，以实现投资收益的最大化</w:t>
            </w:r>
          </w:p>
        </w:tc>
      </w:tr>
      <w:tr w14:paraId="4924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F1C6983">
            <w:pPr>
              <w:spacing w:before="156" w:beforeLines="50" w:after="156" w:afterLines="50" w:line="340" w:lineRule="atLeast"/>
              <w:jc w:val="left"/>
              <w:rPr>
                <w:rFonts w:ascii="仿宋_GB2312" w:eastAsia="仿宋_GB2312"/>
                <w:sz w:val="24"/>
              </w:rPr>
            </w:pPr>
          </w:p>
        </w:tc>
        <w:tc>
          <w:tcPr>
            <w:tcW w:w="7456" w:type="dxa"/>
            <w:vAlign w:val="center"/>
          </w:tcPr>
          <w:p w14:paraId="6008B568">
            <w:pPr>
              <w:spacing w:before="156" w:beforeLines="50" w:after="156" w:afterLines="50" w:line="340" w:lineRule="atLeast"/>
              <w:jc w:val="left"/>
              <w:rPr>
                <w:rFonts w:ascii="仿宋_GB2312" w:eastAsia="仿宋_GB2312"/>
                <w:sz w:val="24"/>
              </w:rPr>
            </w:pPr>
            <w:r>
              <w:rPr>
                <w:rFonts w:hint="eastAsia" w:ascii="仿宋_GB2312" w:eastAsia="仿宋_GB2312"/>
                <w:sz w:val="24"/>
              </w:rPr>
              <w:t>3、就改进融资方式和融资架构提出建议</w:t>
            </w:r>
          </w:p>
        </w:tc>
      </w:tr>
      <w:tr w14:paraId="5497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10218AA1">
            <w:pPr>
              <w:spacing w:before="156" w:beforeLines="50" w:after="156" w:afterLines="50" w:line="340" w:lineRule="atLeast"/>
              <w:jc w:val="left"/>
              <w:rPr>
                <w:rFonts w:ascii="仿宋_GB2312" w:eastAsia="仿宋_GB2312"/>
                <w:sz w:val="24"/>
              </w:rPr>
            </w:pPr>
          </w:p>
        </w:tc>
        <w:tc>
          <w:tcPr>
            <w:tcW w:w="7456" w:type="dxa"/>
            <w:vAlign w:val="center"/>
          </w:tcPr>
          <w:p w14:paraId="71D00685">
            <w:pPr>
              <w:spacing w:before="156" w:beforeLines="50" w:after="156" w:afterLines="50" w:line="340" w:lineRule="atLeast"/>
              <w:jc w:val="left"/>
              <w:rPr>
                <w:rFonts w:ascii="仿宋_GB2312" w:eastAsia="仿宋_GB2312"/>
                <w:sz w:val="24"/>
              </w:rPr>
            </w:pPr>
            <w:r>
              <w:rPr>
                <w:rFonts w:hint="eastAsia" w:ascii="仿宋_GB2312" w:eastAsia="仿宋_GB2312"/>
                <w:sz w:val="24"/>
              </w:rPr>
              <w:t>4、当地对股息、股东借款等资金方面的政策规定提供咨询建议；</w:t>
            </w:r>
          </w:p>
        </w:tc>
      </w:tr>
      <w:tr w14:paraId="4092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3C670B8">
            <w:pPr>
              <w:spacing w:before="156" w:beforeLines="50" w:after="156" w:afterLines="50" w:line="340" w:lineRule="atLeast"/>
              <w:jc w:val="left"/>
              <w:rPr>
                <w:rFonts w:ascii="仿宋_GB2312" w:eastAsia="仿宋_GB2312"/>
                <w:sz w:val="24"/>
              </w:rPr>
            </w:pPr>
          </w:p>
        </w:tc>
        <w:tc>
          <w:tcPr>
            <w:tcW w:w="7456" w:type="dxa"/>
            <w:vAlign w:val="center"/>
          </w:tcPr>
          <w:p w14:paraId="2EDF1E1C">
            <w:pPr>
              <w:spacing w:before="156" w:beforeLines="50" w:after="156" w:afterLines="50" w:line="340" w:lineRule="atLeast"/>
              <w:jc w:val="left"/>
              <w:rPr>
                <w:rFonts w:ascii="仿宋_GB2312" w:eastAsia="仿宋_GB2312"/>
                <w:sz w:val="24"/>
              </w:rPr>
            </w:pPr>
            <w:r>
              <w:rPr>
                <w:rFonts w:hint="eastAsia" w:ascii="仿宋_GB2312" w:eastAsia="仿宋_GB2312"/>
                <w:sz w:val="24"/>
              </w:rPr>
              <w:t>5、资本金流入及撤回的要求与限制</w:t>
            </w:r>
          </w:p>
        </w:tc>
      </w:tr>
      <w:tr w14:paraId="6C78B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6882FE3D">
            <w:pPr>
              <w:spacing w:before="156" w:beforeLines="50" w:after="156" w:afterLines="50" w:line="340" w:lineRule="atLeast"/>
              <w:jc w:val="center"/>
              <w:rPr>
                <w:rFonts w:ascii="仿宋_GB2312" w:eastAsia="仿宋_GB2312"/>
                <w:sz w:val="24"/>
              </w:rPr>
            </w:pPr>
            <w:r>
              <w:rPr>
                <w:rFonts w:hint="eastAsia" w:ascii="仿宋_GB2312" w:eastAsia="仿宋_GB2312"/>
                <w:sz w:val="24"/>
              </w:rPr>
              <w:t>当地税制</w:t>
            </w:r>
          </w:p>
          <w:p w14:paraId="04604859">
            <w:pPr>
              <w:spacing w:before="156" w:beforeLines="50" w:after="156" w:afterLines="50" w:line="340" w:lineRule="atLeast"/>
              <w:jc w:val="center"/>
              <w:rPr>
                <w:rFonts w:ascii="仿宋_GB2312" w:eastAsia="仿宋_GB2312"/>
                <w:sz w:val="24"/>
              </w:rPr>
            </w:pPr>
            <w:r>
              <w:rPr>
                <w:rFonts w:hint="eastAsia" w:ascii="仿宋_GB2312" w:eastAsia="仿宋_GB2312"/>
                <w:sz w:val="24"/>
              </w:rPr>
              <w:t>和税收优惠</w:t>
            </w:r>
          </w:p>
          <w:p w14:paraId="7CC43E2B">
            <w:pPr>
              <w:spacing w:before="156" w:beforeLines="50" w:after="156" w:afterLines="50" w:line="340" w:lineRule="atLeast"/>
              <w:jc w:val="center"/>
              <w:rPr>
                <w:rFonts w:ascii="仿宋_GB2312" w:eastAsia="仿宋_GB2312"/>
                <w:sz w:val="24"/>
              </w:rPr>
            </w:pPr>
            <w:r>
              <w:rPr>
                <w:rFonts w:hint="eastAsia" w:ascii="仿宋_GB2312" w:eastAsia="仿宋_GB2312"/>
                <w:sz w:val="24"/>
              </w:rPr>
              <w:t>政策调查</w:t>
            </w:r>
          </w:p>
        </w:tc>
        <w:tc>
          <w:tcPr>
            <w:tcW w:w="7456" w:type="dxa"/>
            <w:vAlign w:val="center"/>
          </w:tcPr>
          <w:p w14:paraId="0F91EE89">
            <w:pPr>
              <w:spacing w:before="156" w:beforeLines="50" w:after="156" w:afterLines="50" w:line="340" w:lineRule="atLeast"/>
              <w:jc w:val="left"/>
              <w:rPr>
                <w:rFonts w:ascii="仿宋_GB2312" w:eastAsia="仿宋_GB2312"/>
                <w:sz w:val="24"/>
              </w:rPr>
            </w:pPr>
            <w:r>
              <w:rPr>
                <w:rFonts w:hint="eastAsia" w:ascii="仿宋_GB2312" w:eastAsia="仿宋_GB2312"/>
                <w:sz w:val="24"/>
              </w:rPr>
              <w:t>1、调查目标公司所适用的格鲁吉亚税制</w:t>
            </w:r>
          </w:p>
        </w:tc>
      </w:tr>
      <w:tr w14:paraId="0A7F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EBB7DF8">
            <w:pPr>
              <w:spacing w:before="156" w:beforeLines="50" w:after="156" w:afterLines="50" w:line="340" w:lineRule="atLeast"/>
              <w:jc w:val="left"/>
              <w:rPr>
                <w:rFonts w:ascii="仿宋_GB2312" w:eastAsia="仿宋_GB2312"/>
                <w:sz w:val="24"/>
              </w:rPr>
            </w:pPr>
          </w:p>
        </w:tc>
        <w:tc>
          <w:tcPr>
            <w:tcW w:w="7456" w:type="dxa"/>
            <w:vAlign w:val="center"/>
          </w:tcPr>
          <w:p w14:paraId="29DC7B9F">
            <w:pPr>
              <w:spacing w:before="156" w:beforeLines="50" w:after="156" w:afterLines="50" w:line="340" w:lineRule="atLeast"/>
              <w:jc w:val="left"/>
              <w:rPr>
                <w:rFonts w:ascii="仿宋_GB2312" w:eastAsia="仿宋_GB2312"/>
                <w:sz w:val="24"/>
              </w:rPr>
            </w:pPr>
            <w:r>
              <w:rPr>
                <w:rFonts w:hint="eastAsia" w:ascii="仿宋_GB2312" w:eastAsia="仿宋_GB2312"/>
                <w:sz w:val="24"/>
              </w:rPr>
              <w:t>2、针对目标公司，对可能适用的税收优惠政策、政府补贴及其适用条件进行调查</w:t>
            </w:r>
          </w:p>
        </w:tc>
      </w:tr>
      <w:tr w14:paraId="10EE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F8F79F7">
            <w:pPr>
              <w:spacing w:before="156" w:beforeLines="50" w:after="156" w:afterLines="50" w:line="340" w:lineRule="atLeast"/>
              <w:jc w:val="left"/>
              <w:rPr>
                <w:rFonts w:ascii="仿宋_GB2312" w:eastAsia="仿宋_GB2312"/>
                <w:sz w:val="24"/>
              </w:rPr>
            </w:pPr>
          </w:p>
        </w:tc>
        <w:tc>
          <w:tcPr>
            <w:tcW w:w="7456" w:type="dxa"/>
            <w:vAlign w:val="center"/>
          </w:tcPr>
          <w:p w14:paraId="4E46E5E7">
            <w:pPr>
              <w:spacing w:before="156" w:beforeLines="50" w:after="156" w:afterLines="50" w:line="340" w:lineRule="atLeast"/>
              <w:jc w:val="left"/>
              <w:rPr>
                <w:rFonts w:ascii="仿宋_GB2312" w:eastAsia="仿宋_GB2312"/>
                <w:sz w:val="24"/>
              </w:rPr>
            </w:pPr>
            <w:r>
              <w:rPr>
                <w:rFonts w:hint="eastAsia" w:ascii="仿宋_GB2312" w:eastAsia="仿宋_GB2312"/>
                <w:sz w:val="24"/>
              </w:rPr>
              <w:t>3、在中国或第三国进行劳务聘用，以及从中方派驻管理人员等方面的财务、税务规定</w:t>
            </w:r>
          </w:p>
        </w:tc>
      </w:tr>
      <w:tr w14:paraId="0038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2CCA634D">
            <w:pPr>
              <w:spacing w:before="156" w:beforeLines="50" w:after="156" w:afterLines="50" w:line="340" w:lineRule="atLeast"/>
              <w:jc w:val="left"/>
              <w:rPr>
                <w:rFonts w:ascii="仿宋_GB2312" w:eastAsia="仿宋_GB2312"/>
                <w:sz w:val="24"/>
              </w:rPr>
            </w:pPr>
          </w:p>
        </w:tc>
        <w:tc>
          <w:tcPr>
            <w:tcW w:w="7456" w:type="dxa"/>
            <w:vAlign w:val="center"/>
          </w:tcPr>
          <w:p w14:paraId="6B503CC3">
            <w:pPr>
              <w:spacing w:before="156" w:beforeLines="50" w:after="156" w:afterLines="50" w:line="340" w:lineRule="atLeast"/>
              <w:jc w:val="left"/>
              <w:rPr>
                <w:rFonts w:ascii="仿宋_GB2312" w:eastAsia="仿宋_GB2312"/>
                <w:sz w:val="24"/>
              </w:rPr>
            </w:pPr>
            <w:r>
              <w:rPr>
                <w:rFonts w:hint="eastAsia" w:ascii="仿宋_GB2312" w:eastAsia="仿宋_GB2312"/>
                <w:sz w:val="24"/>
              </w:rPr>
              <w:t>4、格鲁吉亚一般反避税规定</w:t>
            </w:r>
          </w:p>
        </w:tc>
      </w:tr>
      <w:tr w14:paraId="5FCD3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FDB8C1A">
            <w:pPr>
              <w:spacing w:before="156" w:beforeLines="50" w:after="156" w:afterLines="50" w:line="340" w:lineRule="atLeast"/>
              <w:jc w:val="left"/>
              <w:rPr>
                <w:rFonts w:ascii="仿宋_GB2312" w:eastAsia="仿宋_GB2312"/>
                <w:sz w:val="24"/>
              </w:rPr>
            </w:pPr>
          </w:p>
        </w:tc>
        <w:tc>
          <w:tcPr>
            <w:tcW w:w="7456" w:type="dxa"/>
            <w:vAlign w:val="center"/>
          </w:tcPr>
          <w:p w14:paraId="249AC03A">
            <w:pPr>
              <w:spacing w:before="156" w:beforeLines="50" w:after="156" w:afterLines="50" w:line="340" w:lineRule="atLeast"/>
              <w:jc w:val="left"/>
              <w:rPr>
                <w:rFonts w:ascii="仿宋_GB2312" w:eastAsia="仿宋_GB2312"/>
                <w:sz w:val="24"/>
              </w:rPr>
            </w:pPr>
            <w:r>
              <w:rPr>
                <w:rFonts w:hint="eastAsia" w:ascii="仿宋_GB2312" w:eastAsia="仿宋_GB2312"/>
                <w:sz w:val="24"/>
              </w:rPr>
              <w:t>5、总结格鲁吉亚风电项目及目标公司所涉及的税收政策、包括在格鲁吉亚涉及的税种、征收方式、各税种的申报要求以及本项目可适用的格鲁吉亚税收优惠政策、税收协定和税收饶让</w:t>
            </w:r>
          </w:p>
        </w:tc>
      </w:tr>
      <w:tr w14:paraId="59A2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0163174">
            <w:pPr>
              <w:spacing w:before="156" w:beforeLines="50" w:after="156" w:afterLines="50" w:line="340" w:lineRule="atLeast"/>
              <w:jc w:val="left"/>
              <w:rPr>
                <w:rFonts w:ascii="仿宋_GB2312" w:eastAsia="仿宋_GB2312"/>
                <w:sz w:val="24"/>
              </w:rPr>
            </w:pPr>
          </w:p>
        </w:tc>
        <w:tc>
          <w:tcPr>
            <w:tcW w:w="7456" w:type="dxa"/>
            <w:vAlign w:val="center"/>
          </w:tcPr>
          <w:p w14:paraId="4E742AFF">
            <w:pPr>
              <w:spacing w:before="156" w:beforeLines="50" w:after="156" w:afterLines="50" w:line="340" w:lineRule="atLeast"/>
              <w:jc w:val="left"/>
              <w:rPr>
                <w:rFonts w:ascii="仿宋_GB2312" w:eastAsia="仿宋_GB2312"/>
                <w:sz w:val="24"/>
              </w:rPr>
            </w:pPr>
            <w:r>
              <w:rPr>
                <w:rFonts w:hint="eastAsia" w:ascii="仿宋_GB2312" w:eastAsia="仿宋_GB2312"/>
                <w:sz w:val="24"/>
              </w:rPr>
              <w:t>6、结合格鲁吉亚当地税制，就目标公司与中国境内关联公司开展关联交易，以合理转移利润、降低企业综合税负的方案。</w:t>
            </w:r>
          </w:p>
        </w:tc>
      </w:tr>
      <w:tr w14:paraId="13A3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tcBorders>
              <w:bottom w:val="single" w:color="auto" w:sz="4" w:space="0"/>
            </w:tcBorders>
            <w:vAlign w:val="center"/>
          </w:tcPr>
          <w:p w14:paraId="7C61EF99">
            <w:pPr>
              <w:spacing w:before="156" w:beforeLines="50" w:after="156" w:afterLines="50" w:line="340" w:lineRule="atLeast"/>
              <w:jc w:val="left"/>
              <w:rPr>
                <w:rFonts w:ascii="仿宋_GB2312" w:eastAsia="仿宋_GB2312"/>
                <w:sz w:val="24"/>
              </w:rPr>
            </w:pPr>
          </w:p>
        </w:tc>
        <w:tc>
          <w:tcPr>
            <w:tcW w:w="7456" w:type="dxa"/>
            <w:vAlign w:val="center"/>
          </w:tcPr>
          <w:p w14:paraId="5431C01C">
            <w:pPr>
              <w:spacing w:before="156" w:beforeLines="50" w:after="156" w:afterLines="50" w:line="340" w:lineRule="atLeast"/>
              <w:jc w:val="left"/>
              <w:rPr>
                <w:rFonts w:hint="eastAsia" w:ascii="仿宋_GB2312" w:eastAsia="仿宋_GB2312"/>
                <w:sz w:val="24"/>
              </w:rPr>
            </w:pPr>
            <w:r>
              <w:rPr>
                <w:rFonts w:hint="eastAsia" w:ascii="仿宋_GB2312" w:eastAsia="仿宋_GB2312"/>
                <w:sz w:val="24"/>
              </w:rPr>
              <w:t>7、分析投资者收购现有的格鲁吉亚境内目标公司的税务意见（包括但不限于可能产生的中国、中国香港、格鲁吉亚的税收、股息分配以及股权转让的税务影响）</w:t>
            </w:r>
          </w:p>
        </w:tc>
      </w:tr>
      <w:tr w14:paraId="63C8A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3" w:type="dxa"/>
            <w:vMerge w:val="restart"/>
            <w:tcBorders>
              <w:top w:val="single" w:color="auto" w:sz="4" w:space="0"/>
              <w:left w:val="single" w:color="auto" w:sz="4" w:space="0"/>
              <w:bottom w:val="nil"/>
              <w:right w:val="single" w:color="auto" w:sz="4" w:space="0"/>
            </w:tcBorders>
            <w:vAlign w:val="center"/>
          </w:tcPr>
          <w:p w14:paraId="66870A28">
            <w:pPr>
              <w:spacing w:before="156" w:beforeLines="50" w:after="156" w:afterLines="50" w:line="340" w:lineRule="atLeast"/>
              <w:jc w:val="center"/>
              <w:rPr>
                <w:rFonts w:ascii="仿宋_GB2312" w:eastAsia="仿宋_GB2312"/>
                <w:sz w:val="24"/>
              </w:rPr>
            </w:pPr>
            <w:r>
              <w:rPr>
                <w:rFonts w:hint="eastAsia" w:ascii="仿宋_GB2312" w:eastAsia="仿宋_GB2312"/>
                <w:sz w:val="24"/>
              </w:rPr>
              <w:t>对拟收购</w:t>
            </w:r>
          </w:p>
          <w:p w14:paraId="659D9A5D">
            <w:pPr>
              <w:spacing w:before="156" w:beforeLines="50" w:after="156" w:afterLines="50" w:line="340" w:lineRule="atLeast"/>
              <w:jc w:val="center"/>
              <w:rPr>
                <w:rFonts w:ascii="仿宋_GB2312" w:eastAsia="仿宋_GB2312"/>
                <w:sz w:val="24"/>
              </w:rPr>
            </w:pPr>
            <w:r>
              <w:rPr>
                <w:rFonts w:hint="eastAsia" w:ascii="仿宋_GB2312" w:eastAsia="仿宋_GB2312"/>
                <w:sz w:val="24"/>
              </w:rPr>
              <w:t>目标公司</w:t>
            </w:r>
          </w:p>
          <w:p w14:paraId="6A37C8F6">
            <w:pPr>
              <w:spacing w:before="156" w:beforeLines="50" w:after="156" w:afterLines="50" w:line="340" w:lineRule="atLeast"/>
              <w:jc w:val="center"/>
              <w:rPr>
                <w:rFonts w:ascii="仿宋_GB2312" w:eastAsia="仿宋_GB2312"/>
                <w:sz w:val="24"/>
              </w:rPr>
            </w:pPr>
            <w:r>
              <w:rPr>
                <w:rFonts w:hint="eastAsia" w:ascii="仿宋_GB2312" w:eastAsia="仿宋_GB2312"/>
                <w:sz w:val="24"/>
              </w:rPr>
              <w:t>进行财税</w:t>
            </w:r>
          </w:p>
          <w:p w14:paraId="792563C6">
            <w:pPr>
              <w:spacing w:before="156" w:beforeLines="50" w:after="156" w:afterLines="50" w:line="340" w:lineRule="atLeast"/>
              <w:jc w:val="center"/>
              <w:rPr>
                <w:rFonts w:ascii="仿宋_GB2312" w:eastAsia="仿宋_GB2312"/>
                <w:sz w:val="24"/>
              </w:rPr>
            </w:pPr>
            <w:r>
              <w:rPr>
                <w:rFonts w:hint="eastAsia" w:ascii="仿宋_GB2312" w:eastAsia="仿宋_GB2312"/>
                <w:sz w:val="24"/>
              </w:rPr>
              <w:t>尽职调查</w:t>
            </w:r>
          </w:p>
        </w:tc>
        <w:tc>
          <w:tcPr>
            <w:tcW w:w="7456" w:type="dxa"/>
            <w:tcBorders>
              <w:left w:val="single" w:color="auto" w:sz="4" w:space="0"/>
            </w:tcBorders>
            <w:vAlign w:val="center"/>
          </w:tcPr>
          <w:p w14:paraId="2A719E0A">
            <w:pPr>
              <w:spacing w:before="156" w:beforeLines="50" w:after="156" w:afterLines="50" w:line="340" w:lineRule="atLeast"/>
              <w:jc w:val="left"/>
              <w:rPr>
                <w:rFonts w:ascii="仿宋_GB2312" w:eastAsia="仿宋_GB2312"/>
                <w:sz w:val="24"/>
              </w:rPr>
            </w:pPr>
            <w:r>
              <w:rPr>
                <w:rFonts w:hint="eastAsia" w:ascii="仿宋_GB2312" w:eastAsia="仿宋_GB2312"/>
                <w:sz w:val="24"/>
              </w:rPr>
              <w:t>1、目标公司获取</w:t>
            </w:r>
            <w:r>
              <w:rPr>
                <w:rFonts w:hint="eastAsia" w:ascii="仿宋_GB2312" w:eastAsia="仿宋_GB2312"/>
                <w:sz w:val="24"/>
                <w:lang w:eastAsia="zh-CN"/>
              </w:rPr>
              <w:t>电力</w:t>
            </w:r>
            <w:r>
              <w:rPr>
                <w:rFonts w:hint="eastAsia" w:ascii="仿宋_GB2312" w:eastAsia="仿宋_GB2312"/>
                <w:sz w:val="24"/>
              </w:rPr>
              <w:t>销售、电费收益的财务、税务方面的规定</w:t>
            </w:r>
          </w:p>
        </w:tc>
      </w:tr>
      <w:tr w14:paraId="6590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73" w:type="dxa"/>
            <w:vMerge w:val="continue"/>
            <w:tcBorders>
              <w:top w:val="nil"/>
              <w:left w:val="single" w:color="auto" w:sz="4" w:space="0"/>
              <w:bottom w:val="nil"/>
              <w:right w:val="single" w:color="auto" w:sz="4" w:space="0"/>
            </w:tcBorders>
            <w:vAlign w:val="center"/>
          </w:tcPr>
          <w:p w14:paraId="242A7BE0">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0CDF175F">
            <w:pPr>
              <w:spacing w:before="156" w:beforeLines="50" w:after="156" w:afterLines="50" w:line="340" w:lineRule="atLeast"/>
              <w:jc w:val="left"/>
              <w:rPr>
                <w:rFonts w:ascii="仿宋_GB2312" w:eastAsia="仿宋_GB2312"/>
                <w:sz w:val="24"/>
              </w:rPr>
            </w:pPr>
            <w:r>
              <w:rPr>
                <w:rFonts w:hint="eastAsia" w:ascii="仿宋_GB2312" w:eastAsia="仿宋_GB2312"/>
                <w:sz w:val="24"/>
              </w:rPr>
              <w:t>2、格鲁吉亚对目标公司股息、资本利得汇回国内时在当地的财务、税务方面的规定和限制</w:t>
            </w:r>
          </w:p>
        </w:tc>
      </w:tr>
      <w:tr w14:paraId="7484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1673" w:type="dxa"/>
            <w:vMerge w:val="continue"/>
            <w:tcBorders>
              <w:top w:val="nil"/>
              <w:left w:val="single" w:color="auto" w:sz="4" w:space="0"/>
              <w:bottom w:val="nil"/>
              <w:right w:val="single" w:color="auto" w:sz="4" w:space="0"/>
            </w:tcBorders>
            <w:vAlign w:val="center"/>
          </w:tcPr>
          <w:p w14:paraId="6AF00536">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1504CEF9">
            <w:pPr>
              <w:spacing w:before="156" w:beforeLines="50" w:after="156" w:afterLines="50" w:line="340" w:lineRule="atLeast"/>
              <w:jc w:val="left"/>
              <w:rPr>
                <w:rFonts w:ascii="仿宋_GB2312" w:eastAsia="仿宋_GB2312"/>
                <w:sz w:val="24"/>
              </w:rPr>
            </w:pPr>
            <w:r>
              <w:rPr>
                <w:rFonts w:hint="eastAsia" w:ascii="仿宋_GB2312" w:eastAsia="仿宋_GB2312"/>
                <w:sz w:val="24"/>
              </w:rPr>
              <w:t>3、中国及中国香港对目标公司股息、资本利得汇回国内时在国内的财务、税务方面的规定</w:t>
            </w:r>
          </w:p>
        </w:tc>
      </w:tr>
      <w:tr w14:paraId="0E1F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trPr>
        <w:tc>
          <w:tcPr>
            <w:tcW w:w="1673" w:type="dxa"/>
            <w:vMerge w:val="continue"/>
            <w:tcBorders>
              <w:top w:val="nil"/>
              <w:left w:val="single" w:color="auto" w:sz="4" w:space="0"/>
              <w:bottom w:val="nil"/>
              <w:right w:val="single" w:color="auto" w:sz="4" w:space="0"/>
            </w:tcBorders>
            <w:vAlign w:val="center"/>
          </w:tcPr>
          <w:p w14:paraId="28616F39">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3CF495AE">
            <w:pPr>
              <w:spacing w:line="340" w:lineRule="atLeast"/>
              <w:jc w:val="left"/>
              <w:rPr>
                <w:rFonts w:ascii="仿宋_GB2312" w:eastAsia="仿宋_GB2312"/>
                <w:sz w:val="24"/>
              </w:rPr>
            </w:pPr>
            <w:r>
              <w:rPr>
                <w:rFonts w:hint="eastAsia" w:ascii="仿宋_GB2312" w:eastAsia="仿宋_GB2312"/>
                <w:sz w:val="24"/>
              </w:rPr>
              <w:t>4、在格鲁吉亚缴纳的企业所得税性质的税负能否抵扣中方投资者的企业所得税方面的规定</w:t>
            </w:r>
          </w:p>
        </w:tc>
      </w:tr>
      <w:tr w14:paraId="7D7B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1673" w:type="dxa"/>
            <w:vMerge w:val="restart"/>
            <w:tcBorders>
              <w:top w:val="nil"/>
              <w:left w:val="single" w:color="auto" w:sz="4" w:space="0"/>
              <w:bottom w:val="single" w:color="auto" w:sz="4" w:space="0"/>
              <w:right w:val="single" w:color="auto" w:sz="4" w:space="0"/>
            </w:tcBorders>
            <w:vAlign w:val="center"/>
          </w:tcPr>
          <w:p w14:paraId="569C0F37">
            <w:pPr>
              <w:spacing w:before="156" w:beforeLines="50" w:after="156" w:afterLines="50" w:line="340" w:lineRule="atLeast"/>
              <w:jc w:val="center"/>
              <w:rPr>
                <w:rFonts w:ascii="仿宋_GB2312" w:eastAsia="仿宋_GB2312"/>
                <w:sz w:val="24"/>
              </w:rPr>
            </w:pPr>
          </w:p>
        </w:tc>
        <w:tc>
          <w:tcPr>
            <w:tcW w:w="7456" w:type="dxa"/>
            <w:tcBorders>
              <w:left w:val="single" w:color="auto" w:sz="4" w:space="0"/>
            </w:tcBorders>
            <w:vAlign w:val="center"/>
          </w:tcPr>
          <w:p w14:paraId="3C0095AF">
            <w:pPr>
              <w:spacing w:before="156" w:beforeLines="50" w:after="156" w:afterLines="50" w:line="340" w:lineRule="atLeast"/>
              <w:jc w:val="left"/>
              <w:rPr>
                <w:rFonts w:ascii="仿宋_GB2312" w:eastAsia="仿宋_GB2312"/>
                <w:sz w:val="24"/>
              </w:rPr>
            </w:pPr>
            <w:r>
              <w:rPr>
                <w:rFonts w:hint="eastAsia" w:ascii="仿宋_GB2312" w:eastAsia="仿宋_GB2312"/>
                <w:sz w:val="24"/>
              </w:rPr>
              <w:t>5、对目标公司截止2024年12月31日的交易范围、财务信息的基础和质量、资产负债、运营情况关联交易、控制权变更、税务等方面的情况进行调查分析</w:t>
            </w:r>
          </w:p>
        </w:tc>
      </w:tr>
      <w:tr w14:paraId="1041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tcBorders>
              <w:top w:val="single" w:color="auto" w:sz="4" w:space="0"/>
              <w:left w:val="single" w:color="auto" w:sz="4" w:space="0"/>
              <w:bottom w:val="single" w:color="auto" w:sz="4" w:space="0"/>
              <w:right w:val="single" w:color="auto" w:sz="4" w:space="0"/>
            </w:tcBorders>
            <w:vAlign w:val="center"/>
          </w:tcPr>
          <w:p w14:paraId="5B064A81">
            <w:pPr>
              <w:spacing w:before="156" w:beforeLines="50" w:after="156" w:afterLines="50" w:line="340" w:lineRule="atLeast"/>
              <w:jc w:val="center"/>
              <w:rPr>
                <w:rFonts w:ascii="仿宋_GB2312" w:eastAsia="仿宋_GB2312"/>
                <w:sz w:val="24"/>
              </w:rPr>
            </w:pPr>
          </w:p>
        </w:tc>
        <w:tc>
          <w:tcPr>
            <w:tcW w:w="7456" w:type="dxa"/>
            <w:tcBorders>
              <w:left w:val="single" w:color="auto" w:sz="4" w:space="0"/>
            </w:tcBorders>
            <w:vAlign w:val="center"/>
          </w:tcPr>
          <w:p w14:paraId="1B651773">
            <w:pPr>
              <w:spacing w:before="156" w:beforeLines="50" w:after="156" w:afterLines="50" w:line="340" w:lineRule="atLeast"/>
              <w:jc w:val="left"/>
              <w:rPr>
                <w:rFonts w:ascii="仿宋_GB2312" w:eastAsia="仿宋_GB2312"/>
                <w:sz w:val="24"/>
              </w:rPr>
            </w:pPr>
            <w:r>
              <w:rPr>
                <w:rFonts w:ascii="仿宋_GB2312" w:eastAsia="仿宋_GB2312"/>
                <w:sz w:val="24"/>
              </w:rPr>
              <w:t>6</w:t>
            </w:r>
            <w:r>
              <w:rPr>
                <w:rFonts w:hint="eastAsia" w:ascii="仿宋_GB2312" w:eastAsia="仿宋_GB2312"/>
                <w:sz w:val="24"/>
              </w:rPr>
              <w:t>、判断目标公司的风险，对揭示的风险提出建议，对股权转让方案设计、交易定价、交易谈判、投资决策等提供咨询和建议</w:t>
            </w:r>
          </w:p>
        </w:tc>
      </w:tr>
    </w:tbl>
    <w:p w14:paraId="3490C85D">
      <w:pPr>
        <w:spacing w:line="360" w:lineRule="auto"/>
        <w:ind w:firstLine="482" w:firstLineChars="200"/>
        <w:rPr>
          <w:rFonts w:ascii="仿宋_GB2312" w:eastAsia="仿宋_GB2312"/>
          <w:b/>
          <w:sz w:val="24"/>
        </w:rPr>
      </w:pPr>
      <w:r>
        <w:rPr>
          <w:rFonts w:hint="eastAsia" w:ascii="仿宋_GB2312" w:eastAsia="仿宋_GB2312"/>
          <w:b/>
          <w:sz w:val="24"/>
        </w:rPr>
        <w:t>须出具财税尽职调查咨询报告（中文和英文）。</w:t>
      </w:r>
    </w:p>
    <w:p w14:paraId="3163615E">
      <w:pPr>
        <w:spacing w:line="360" w:lineRule="auto"/>
        <w:ind w:firstLine="482" w:firstLineChars="200"/>
        <w:rPr>
          <w:rFonts w:ascii="仿宋_GB2312" w:eastAsia="仿宋_GB2312"/>
          <w:b/>
          <w:sz w:val="24"/>
        </w:rPr>
      </w:pPr>
      <w:r>
        <w:rPr>
          <w:rFonts w:hint="eastAsia" w:ascii="仿宋_GB2312" w:eastAsia="仿宋_GB2312"/>
          <w:b/>
          <w:sz w:val="24"/>
        </w:rPr>
        <w:t>注：以上主要工作内容，</w:t>
      </w:r>
      <w:r>
        <w:rPr>
          <w:rFonts w:hint="eastAsia" w:ascii="仿宋_GB2312" w:eastAsia="仿宋_GB2312"/>
          <w:b/>
          <w:sz w:val="24"/>
          <w:lang w:val="en-US" w:eastAsia="zh-CN"/>
        </w:rPr>
        <w:t>比选申请人</w:t>
      </w:r>
      <w:r>
        <w:rPr>
          <w:rFonts w:hint="eastAsia" w:ascii="仿宋_GB2312" w:eastAsia="仿宋_GB2312"/>
          <w:b/>
          <w:sz w:val="24"/>
        </w:rPr>
        <w:t>可根据以往类似项目的经验在比选文件“项目实施方案和主要工作”中增加和细化。</w:t>
      </w:r>
    </w:p>
    <w:p w14:paraId="4C9B14DC">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三、对比选申请人的报名资格要求</w:t>
      </w:r>
    </w:p>
    <w:p w14:paraId="747C2139">
      <w:pPr>
        <w:spacing w:line="360" w:lineRule="auto"/>
        <w:ind w:firstLine="480" w:firstLineChars="200"/>
        <w:jc w:val="left"/>
        <w:rPr>
          <w:rFonts w:hint="eastAsia" w:ascii="黑体" w:hAnsi="ˎ̥_GB2312" w:eastAsia="黑体" w:cs="宋体"/>
          <w:kern w:val="0"/>
          <w:sz w:val="24"/>
        </w:rPr>
      </w:pPr>
      <w:r>
        <w:rPr>
          <w:rFonts w:hint="eastAsia" w:ascii="仿宋_GB2312" w:eastAsia="仿宋_GB2312"/>
          <w:color w:val="000000"/>
          <w:sz w:val="24"/>
        </w:rPr>
        <w:t>（一）基本要求</w:t>
      </w:r>
    </w:p>
    <w:p w14:paraId="591377B9">
      <w:pPr>
        <w:spacing w:line="360" w:lineRule="auto"/>
        <w:ind w:firstLine="480" w:firstLineChars="200"/>
        <w:rPr>
          <w:rFonts w:ascii="仿宋_GB2312" w:eastAsia="仿宋_GB2312"/>
          <w:sz w:val="24"/>
        </w:rPr>
      </w:pPr>
      <w:r>
        <w:rPr>
          <w:rFonts w:hint="eastAsia" w:ascii="仿宋_GB2312" w:eastAsia="仿宋_GB2312"/>
          <w:sz w:val="24"/>
        </w:rPr>
        <w:t>1.比选申请人在中国大陆及境外有分支机构/合作机构，并具备相关执业资格，具有规范健全的质量管理、风险管理等内部管理制度。</w:t>
      </w:r>
    </w:p>
    <w:p w14:paraId="5AE4E353">
      <w:pPr>
        <w:spacing w:line="360" w:lineRule="auto"/>
        <w:ind w:firstLine="480" w:firstLineChars="200"/>
        <w:rPr>
          <w:rFonts w:ascii="仿宋_GB2312" w:eastAsia="仿宋_GB2312"/>
          <w:sz w:val="24"/>
        </w:rPr>
      </w:pPr>
      <w:r>
        <w:rPr>
          <w:rFonts w:hint="eastAsia" w:ascii="仿宋_GB2312" w:eastAsia="仿宋_GB2312"/>
          <w:sz w:val="24"/>
        </w:rPr>
        <w:t>2.比选申请人具有良好的社会信誉与国际声誉，截止比选公告日未在相关处罚期内。</w:t>
      </w:r>
    </w:p>
    <w:p w14:paraId="19F1CF4E">
      <w:pPr>
        <w:spacing w:line="360" w:lineRule="auto"/>
        <w:ind w:firstLine="480" w:firstLineChars="200"/>
        <w:rPr>
          <w:rFonts w:ascii="仿宋_GB2312" w:eastAsia="仿宋_GB2312"/>
          <w:sz w:val="24"/>
        </w:rPr>
      </w:pPr>
      <w:r>
        <w:rPr>
          <w:rFonts w:hint="eastAsia" w:ascii="仿宋_GB2312" w:eastAsia="仿宋_GB2312"/>
          <w:sz w:val="24"/>
        </w:rPr>
        <w:t>3.比选申请人未向拟收购的目标公司提供相关服务，与向川投国际提供本次服务无利益冲突。</w:t>
      </w:r>
    </w:p>
    <w:p w14:paraId="6CAAA93E">
      <w:pPr>
        <w:spacing w:after="60" w:line="360" w:lineRule="auto"/>
        <w:ind w:firstLine="480" w:firstLineChars="200"/>
        <w:rPr>
          <w:rFonts w:ascii="仿宋_GB2312" w:eastAsia="仿宋_GB2312"/>
          <w:color w:val="000000"/>
          <w:sz w:val="24"/>
        </w:rPr>
      </w:pPr>
      <w:r>
        <w:rPr>
          <w:rStyle w:val="5"/>
          <w:rFonts w:hint="eastAsia" w:ascii="仿宋_GB2312" w:eastAsia="仿宋_GB2312"/>
          <w:b w:val="0"/>
          <w:bCs w:val="0"/>
          <w:color w:val="000000"/>
          <w:sz w:val="24"/>
        </w:rPr>
        <w:t>（二）专业能力要求</w:t>
      </w:r>
      <w:r>
        <w:rPr>
          <w:rFonts w:hint="eastAsia" w:ascii="仿宋_GB2312" w:eastAsia="仿宋_GB2312"/>
          <w:color w:val="000000"/>
          <w:sz w:val="24"/>
        </w:rPr>
        <w:t>：</w:t>
      </w:r>
    </w:p>
    <w:p w14:paraId="6A2B9B6B">
      <w:pPr>
        <w:widowControl/>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比选申请人</w:t>
      </w:r>
      <w:r>
        <w:rPr>
          <w:rFonts w:hint="eastAsia" w:ascii="仿宋_GB2312" w:eastAsia="仿宋_GB2312"/>
          <w:color w:val="000000"/>
          <w:sz w:val="24"/>
        </w:rPr>
        <w:t>熟悉目标国家财税体系及外商投资政策；</w:t>
      </w:r>
    </w:p>
    <w:p w14:paraId="25F6474B">
      <w:pPr>
        <w:widowControl/>
        <w:tabs>
          <w:tab w:val="left" w:pos="720"/>
        </w:tabs>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2.近五年（2020年1月1日至今）已完成至少2个境外电力项目专项财税尽调服务业绩，团队中至少3名财税尽调人员具备跨境投资财税尽调</w:t>
      </w:r>
      <w:r>
        <w:rPr>
          <w:rFonts w:hint="eastAsia" w:ascii="仿宋_GB2312" w:eastAsia="仿宋_GB2312"/>
          <w:sz w:val="24"/>
        </w:rPr>
        <w:t>服务</w:t>
      </w:r>
      <w:r>
        <w:rPr>
          <w:rFonts w:hint="eastAsia" w:ascii="仿宋_GB2312" w:eastAsia="仿宋_GB2312"/>
          <w:color w:val="000000"/>
          <w:sz w:val="24"/>
        </w:rPr>
        <w:t>经验，且负责人需有</w:t>
      </w:r>
      <w:r>
        <w:rPr>
          <w:rFonts w:ascii="仿宋_GB2312" w:eastAsia="仿宋_GB2312"/>
          <w:color w:val="000000"/>
          <w:sz w:val="24"/>
        </w:rPr>
        <w:t>10</w:t>
      </w:r>
      <w:r>
        <w:rPr>
          <w:rFonts w:hint="eastAsia" w:ascii="仿宋_GB2312" w:eastAsia="仿宋_GB2312"/>
          <w:color w:val="000000"/>
          <w:sz w:val="24"/>
        </w:rPr>
        <w:t>年以上从业经验；</w:t>
      </w:r>
    </w:p>
    <w:p w14:paraId="1AD61349">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（三）其他要求：</w:t>
      </w:r>
    </w:p>
    <w:p w14:paraId="21AE9EA1">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1.不接受联合体参选；</w:t>
      </w:r>
    </w:p>
    <w:p w14:paraId="4308486D">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 提供中英文双语服务能力；</w:t>
      </w:r>
    </w:p>
    <w:p w14:paraId="2FCF5172">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3. 承诺保密义务并签署保密协议。</w:t>
      </w:r>
    </w:p>
    <w:p w14:paraId="3F743FB5">
      <w:pPr>
        <w:numPr>
          <w:ilvl w:val="0"/>
          <w:numId w:val="2"/>
        </w:numPr>
        <w:spacing w:line="360" w:lineRule="auto"/>
        <w:ind w:firstLine="480" w:firstLineChars="200"/>
        <w:rPr>
          <w:rFonts w:ascii="黑体" w:hAnsi="黑体" w:eastAsia="黑体" w:cs="宋体"/>
          <w:color w:val="000000"/>
          <w:kern w:val="0"/>
          <w:sz w:val="24"/>
        </w:rPr>
      </w:pPr>
      <w:r>
        <w:rPr>
          <w:rFonts w:hint="eastAsia" w:ascii="黑体" w:hAnsi="黑体" w:eastAsia="黑体" w:cs="宋体"/>
          <w:color w:val="000000"/>
          <w:kern w:val="0"/>
          <w:sz w:val="24"/>
        </w:rPr>
        <w:t>比选报名</w:t>
      </w:r>
    </w:p>
    <w:p w14:paraId="69BCCC8E">
      <w:pPr>
        <w:spacing w:line="360" w:lineRule="auto"/>
        <w:ind w:firstLine="480" w:firstLineChars="200"/>
        <w:rPr>
          <w:rFonts w:ascii="仿宋_GB2312" w:eastAsia="仿宋_GB2312"/>
          <w:color w:val="000000"/>
          <w:spacing w:val="-6"/>
          <w:sz w:val="24"/>
        </w:rPr>
      </w:pPr>
      <w:r>
        <w:rPr>
          <w:rFonts w:hint="eastAsia" w:ascii="黑体" w:hAnsi="黑体" w:eastAsia="黑体" w:cs="宋体"/>
          <w:color w:val="000000"/>
          <w:kern w:val="0"/>
          <w:sz w:val="24"/>
        </w:rPr>
        <w:t>1.</w:t>
      </w:r>
      <w:r>
        <w:rPr>
          <w:rFonts w:hint="eastAsia" w:ascii="仿宋_GB2312" w:eastAsia="仿宋_GB2312"/>
          <w:color w:val="000000"/>
          <w:spacing w:val="-6"/>
          <w:sz w:val="24"/>
        </w:rPr>
        <w:t>获取时间：从2025年7月</w:t>
      </w:r>
      <w:r>
        <w:rPr>
          <w:rFonts w:hint="eastAsia" w:ascii="仿宋_GB2312" w:eastAsia="仿宋_GB2312"/>
          <w:color w:val="000000"/>
          <w:spacing w:val="-6"/>
          <w:sz w:val="24"/>
          <w:lang w:val="en-US" w:eastAsia="zh-CN"/>
        </w:rPr>
        <w:t>9</w:t>
      </w:r>
      <w:r>
        <w:rPr>
          <w:rFonts w:hint="eastAsia" w:ascii="仿宋_GB2312" w:eastAsia="仿宋_GB2312"/>
          <w:color w:val="000000"/>
          <w:spacing w:val="-6"/>
          <w:sz w:val="24"/>
        </w:rPr>
        <w:t>日9时</w:t>
      </w:r>
      <w:r>
        <w:rPr>
          <w:rFonts w:hint="eastAsia" w:ascii="仿宋_GB2312" w:eastAsia="仿宋_GB2312"/>
          <w:color w:val="000000"/>
          <w:spacing w:val="-6"/>
          <w:sz w:val="24"/>
          <w:lang w:val="en-US" w:eastAsia="zh-CN"/>
        </w:rPr>
        <w:t>00</w:t>
      </w:r>
      <w:r>
        <w:rPr>
          <w:rFonts w:hint="eastAsia" w:ascii="仿宋_GB2312" w:eastAsia="仿宋_GB2312"/>
          <w:color w:val="000000"/>
          <w:spacing w:val="-6"/>
          <w:sz w:val="24"/>
        </w:rPr>
        <w:t>分到</w:t>
      </w:r>
      <w:r>
        <w:rPr>
          <w:rFonts w:hint="eastAsia" w:ascii="仿宋_GB2312" w:eastAsia="仿宋_GB2312"/>
          <w:bCs/>
          <w:color w:val="000000"/>
          <w:sz w:val="24"/>
        </w:rPr>
        <w:t>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w:t>
      </w:r>
      <w:r>
        <w:rPr>
          <w:rFonts w:hint="eastAsia" w:ascii="仿宋_GB2312" w:eastAsia="仿宋_GB2312"/>
          <w:color w:val="000000"/>
          <w:spacing w:val="-6"/>
          <w:sz w:val="24"/>
        </w:rPr>
        <w:t>。</w:t>
      </w:r>
    </w:p>
    <w:p w14:paraId="0B006092">
      <w:pPr>
        <w:spacing w:line="360" w:lineRule="auto"/>
        <w:ind w:firstLine="456" w:firstLineChars="200"/>
        <w:rPr>
          <w:rFonts w:ascii="仿宋_GB2312" w:eastAsia="仿宋_GB2312"/>
          <w:color w:val="000000"/>
          <w:sz w:val="24"/>
        </w:rPr>
      </w:pPr>
      <w:r>
        <w:rPr>
          <w:rFonts w:hint="eastAsia" w:ascii="仿宋_GB2312" w:eastAsia="仿宋_GB2312"/>
          <w:color w:val="000000"/>
          <w:spacing w:val="-6"/>
          <w:sz w:val="24"/>
        </w:rPr>
        <w:t>2.有意向的投标人须登录天府阳光采购平台（网址：http://www.tfygcgfw.com/）参与项目报名，并按页面指示缴纳招标文件费用并下载招标文件。招标人不提供文件获取的其他方式。电子招标文件售价为50元/套（其中平台技术服务费50元，招标文件不单独收费），售后不退。</w:t>
      </w:r>
    </w:p>
    <w:p w14:paraId="2885739E">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五、比选申请文件递交及开启</w:t>
      </w:r>
    </w:p>
    <w:p w14:paraId="22B13F2E">
      <w:pPr>
        <w:spacing w:line="360" w:lineRule="auto"/>
        <w:ind w:firstLine="482" w:firstLineChars="200"/>
        <w:rPr>
          <w:rFonts w:ascii="仿宋_GB2312" w:eastAsia="仿宋_GB2312"/>
          <w:bCs/>
          <w:color w:val="000000"/>
          <w:sz w:val="24"/>
        </w:rPr>
      </w:pPr>
      <w:r>
        <w:rPr>
          <w:rFonts w:hint="eastAsia" w:ascii="仿宋_GB2312" w:eastAsia="仿宋_GB2312"/>
          <w:b/>
          <w:bCs/>
          <w:color w:val="000000"/>
          <w:sz w:val="24"/>
        </w:rPr>
        <w:t>1.递交截止时间（即比选时间）：2025年</w:t>
      </w:r>
      <w:r>
        <w:rPr>
          <w:rFonts w:hint="eastAsia" w:ascii="仿宋_GB2312" w:eastAsia="仿宋_GB2312"/>
          <w:bCs/>
          <w:color w:val="000000"/>
          <w:sz w:val="24"/>
        </w:rPr>
        <w:t>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w:t>
      </w:r>
      <w:r>
        <w:rPr>
          <w:rFonts w:hint="eastAsia" w:ascii="仿宋_GB2312" w:eastAsia="仿宋_GB2312"/>
          <w:b/>
          <w:bCs/>
          <w:color w:val="000000"/>
          <w:sz w:val="24"/>
        </w:rPr>
        <w:t>。</w:t>
      </w:r>
      <w:r>
        <w:rPr>
          <w:rFonts w:hint="eastAsia" w:ascii="仿宋_GB2312" w:eastAsia="仿宋_GB2312"/>
          <w:color w:val="000000"/>
          <w:sz w:val="24"/>
        </w:rPr>
        <w:t>比选申请文件正本一套副本二套必须在此规定时间之前专人送达，迟到的比选申请文件、未按照要求密封的比选申请文件，比选人将予以拒收。</w:t>
      </w:r>
    </w:p>
    <w:p w14:paraId="04D185D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地点：成都市武侯区临江西路1号四川</w:t>
      </w:r>
      <w:r>
        <w:rPr>
          <w:rFonts w:hint="eastAsia" w:ascii="仿宋_GB2312" w:eastAsia="仿宋_GB2312"/>
          <w:bCs/>
          <w:color w:val="000000"/>
          <w:sz w:val="24"/>
          <w:lang w:eastAsia="zh-CN"/>
        </w:rPr>
        <w:t>电力</w:t>
      </w:r>
      <w:r>
        <w:rPr>
          <w:rFonts w:hint="eastAsia" w:ascii="仿宋_GB2312" w:eastAsia="仿宋_GB2312"/>
          <w:bCs/>
          <w:color w:val="000000"/>
          <w:sz w:val="24"/>
        </w:rPr>
        <w:t>大厦1单元1710会议室。</w:t>
      </w:r>
    </w:p>
    <w:p w14:paraId="7507DFBE">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2.</w:t>
      </w:r>
      <w:r>
        <w:rPr>
          <w:rFonts w:hint="eastAsia" w:ascii="仿宋_GB2312" w:eastAsia="仿宋_GB2312"/>
          <w:b/>
          <w:color w:val="000000"/>
          <w:sz w:val="24"/>
        </w:rPr>
        <w:t>比选人定于北京时间2025年</w:t>
      </w:r>
      <w:r>
        <w:rPr>
          <w:rFonts w:hint="eastAsia" w:ascii="仿宋_GB2312" w:eastAsia="仿宋_GB2312"/>
          <w:bCs/>
          <w:color w:val="000000"/>
          <w:sz w:val="24"/>
        </w:rPr>
        <w:t>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 xml:space="preserve">时在成都市武侯区临江西路1号四川能源大厦1710会议室举行比选申请文件开启仪式，比选人邀请已递交比选申请文件的中介机构到现场监督，中介机构负责人或授权代表应当对本单位递交的比选申请文件开启情况签字确认。 </w:t>
      </w:r>
    </w:p>
    <w:p w14:paraId="4A1F7209">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以上内容如有变化，比选人将另行通知。</w:t>
      </w:r>
    </w:p>
    <w:p w14:paraId="3366A068">
      <w:pPr>
        <w:spacing w:line="360" w:lineRule="auto"/>
        <w:ind w:firstLine="480" w:firstLineChars="200"/>
        <w:rPr>
          <w:rFonts w:hint="eastAsia" w:ascii="黑体" w:hAnsi="ˎ̥_GB2312" w:eastAsia="黑体" w:cs="宋体"/>
          <w:color w:val="000000"/>
          <w:kern w:val="0"/>
          <w:sz w:val="24"/>
        </w:rPr>
      </w:pPr>
    </w:p>
    <w:p w14:paraId="03248728">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六、公告发布</w:t>
      </w:r>
    </w:p>
    <w:p w14:paraId="40206E21">
      <w:pPr>
        <w:spacing w:line="360" w:lineRule="auto"/>
        <w:ind w:firstLine="480" w:firstLineChars="200"/>
        <w:rPr>
          <w:rFonts w:hint="eastAsia" w:ascii="黑体" w:hAnsi="ˎ̥_GB2312" w:eastAsia="黑体" w:cs="宋体"/>
          <w:color w:val="000000"/>
          <w:kern w:val="0"/>
          <w:sz w:val="24"/>
        </w:rPr>
      </w:pPr>
      <w:r>
        <w:rPr>
          <w:rFonts w:hint="eastAsia" w:ascii="仿宋_GB2312" w:hAnsi="仿宋" w:eastAsia="仿宋_GB2312" w:cs="宋体"/>
          <w:bCs/>
          <w:color w:val="000000"/>
          <w:kern w:val="0"/>
          <w:sz w:val="24"/>
        </w:rPr>
        <w:t>本次比选公告发布媒介：天府阳光采购服务平台（http://www.tfygcgfw.com）、四川省投资集团有限责任公司官网(网址:https://www.invest.com.cn)。</w:t>
      </w:r>
    </w:p>
    <w:p w14:paraId="5575F1CC">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七、监督部门</w:t>
      </w:r>
    </w:p>
    <w:p w14:paraId="660D2335">
      <w:pPr>
        <w:spacing w:line="360" w:lineRule="auto"/>
        <w:ind w:firstLine="0" w:firstLineChars="0"/>
        <w:rPr>
          <w:rFonts w:hint="eastAsia" w:ascii="宋体" w:hAnsi="宋体" w:eastAsia="宋体" w:cs="宋体"/>
          <w:sz w:val="24"/>
          <w:lang w:val="en-US" w:eastAsia="zh-CN"/>
        </w:rPr>
      </w:pPr>
      <w:r>
        <w:rPr>
          <w:rFonts w:hint="eastAsia" w:ascii="仿宋_GB2312" w:eastAsia="仿宋_GB2312"/>
          <w:color w:val="000000"/>
          <w:sz w:val="24"/>
        </w:rPr>
        <w:t>本招标项目的监督部门为川投国际有限公司风控审计部，联系方式:028-86098601</w:t>
      </w:r>
      <w:r>
        <w:rPr>
          <w:rFonts w:hint="eastAsia" w:ascii="仿宋_GB2312" w:eastAsia="仿宋_GB2312"/>
          <w:color w:val="000000"/>
          <w:sz w:val="24"/>
          <w:lang w:eastAsia="zh-CN"/>
        </w:rPr>
        <w:t>。</w:t>
      </w:r>
    </w:p>
    <w:p w14:paraId="210C9B92">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七、联系方式</w:t>
      </w:r>
    </w:p>
    <w:p w14:paraId="7BB8F86B">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比 选 人：SCIG INTERNATIONAL LIMITED 川投国际有限公司</w:t>
      </w:r>
    </w:p>
    <w:p w14:paraId="021F0C8C">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地    址：成都市武侯区临江西路1号四川能源大厦</w:t>
      </w:r>
    </w:p>
    <w:p w14:paraId="7C310B15">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联 系 人：【杨女士】</w:t>
      </w:r>
    </w:p>
    <w:p w14:paraId="008315A1">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联系电话：【028-81252768】</w:t>
      </w:r>
    </w:p>
    <w:p w14:paraId="3FE16262">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电子邮箱：1063613479@qq.com;</w:t>
      </w:r>
    </w:p>
    <w:p w14:paraId="66E93369">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89A8"/>
    <w:multiLevelType w:val="singleLevel"/>
    <w:tmpl w:val="970889A8"/>
    <w:lvl w:ilvl="0" w:tentative="0">
      <w:start w:val="4"/>
      <w:numFmt w:val="chineseCounting"/>
      <w:suff w:val="nothing"/>
      <w:lvlText w:val="%1、"/>
      <w:lvlJc w:val="left"/>
      <w:rPr>
        <w:rFonts w:hint="eastAsia"/>
      </w:rPr>
    </w:lvl>
  </w:abstractNum>
  <w:abstractNum w:abstractNumId="1">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C605E"/>
    <w:rsid w:val="5D0C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2025-07-08T03:14:00Z</dcterms:created>
  <dc:creator>杨丽瑄</dc:creator>
  <cp:lastModifiedBy>杨丽瑄</cp:lastModifiedBy>
  <dcterms:modified xsi:type="dcterms:W3CDTF">2025-07-08T03:15:27Z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4E8765573B21494AAA95CD7E4C932AAA_11</vt:lpwstr>
  </property>
  <property fmtid="{D5CDD505-2E9C-101B-9397-08002B2CF9AE}" pid="4" name="KSOTemplateDocerSaveRecord">
    <vt:lpwstr>eyJoZGlkIjoiMjVkZDdhZTk3MDM4Y2NhZjBiNTMxYjRjMjVmOWU2NDQiLCJ1c2VySWQiOiIxNjc3MTM5NTg4In0=</vt:lpwstr>
  </property>
</Properties>
</file>